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40"/>
        <w:jc w:val="center"/>
        <w:rPr>
          <w:rFonts w:ascii="Arial" w:hAnsi="Arial" w:cs="Arial"/>
          <w:b/>
          <w:color w:val="164194"/>
          <w:sz w:val="40"/>
          <w:szCs w:val="40"/>
        </w:rPr>
      </w:pPr>
      <w:r>
        <w:rPr>
          <w:rFonts w:ascii="Arial" w:hAnsi="Arial" w:cs="Arial"/>
          <w:b/>
          <w:color w:val="164194"/>
          <w:sz w:val="40"/>
          <w:szCs w:val="40"/>
        </w:rPr>
        <w:t xml:space="preserve">REGULAMENTO DE USO</w:t>
      </w:r>
    </w:p>
    <w:p>
      <w:pPr>
        <w:spacing w:before="0" w:after="260"/>
        <w:jc w:val="center"/>
        <w:rPr>
          <w:rFonts w:ascii="Arial" w:hAnsi="Arial" w:cs="Arial"/>
          <w:b/>
          <w:caps/>
          <w:color w:val="3E6BC4"/>
          <w:sz w:val="28"/>
          <w:szCs w:val="28"/>
        </w:rPr>
      </w:pPr>
      <w:r>
        <w:rPr>
          <w:rFonts w:ascii="Arial" w:hAnsi="Arial" w:cs="Arial"/>
          <w:b/>
          <w:caps/>
          <w:color w:val="3E6BC4"/>
          <w:sz w:val="28"/>
          <w:szCs w:val="28"/>
        </w:rPr>
        <w:t xml:space="preserve">CENTRO CULTURAL ARAÇÁ</w:t>
      </w:r>
    </w:p>
    <w:p>
      <w:pPr>
        <w:spacing w:before="0" w:after="14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Este Regulamento resume, para consulta rápida do(a) solicitante, as principais regras de uso do Centro Cultural Araçá. Ele é parte integrante do Plano de Ocupação, Gestão e Funcionamento do Centro Cultural Araçá e deve ser lido e aceito antes do envio de qualquer solicitação de uso pelo site da Secretaria Municipal de Cultura.</w:t>
      </w:r>
    </w:p>
    <w:p>
      <w:pPr>
        <w:spacing w:before="0" w:after="200"/>
        <w:rPr>
          <w:rFonts w:ascii="Arial" w:hAnsi="Arial" w:cs="Arial"/>
          <w:i/>
          <w:color w:val="595959"/>
          <w:sz w:val="19"/>
          <w:szCs w:val="19"/>
        </w:rPr>
      </w:pPr>
      <w:r>
        <w:rPr>
          <w:rFonts w:ascii="Arial" w:hAnsi="Arial" w:cs="Arial"/>
          <w:i/>
          <w:color w:val="595959"/>
          <w:sz w:val="19"/>
          <w:szCs w:val="19"/>
        </w:rPr>
        <w:t xml:space="preserve">Documento de apoio ao formulário de solicitação de uso, nos mesmos moldes do “Regulamento de Uso” já disponibilizado para os demais espaços culturais geridos pela Secretaria.</w:t>
      </w:r>
    </w:p>
    <w:p>
      <w:pPr>
        <w:keepNext/>
        <w:pBdr>
          <w:bottom w:val="single" w:sz="6" w:space="4" w:color="164194"/>
        </w:pBdr>
        <w:spacing w:before="340" w:after="140"/>
        <w:rPr>
          <w:rFonts w:ascii="Arial" w:hAnsi="Arial" w:cs="Arial"/>
          <w:b/>
          <w:color w:val="164194"/>
          <w:sz w:val="30"/>
          <w:szCs w:val="30"/>
        </w:rPr>
      </w:pPr>
      <w:r>
        <w:rPr>
          <w:rFonts w:ascii="Arial" w:hAnsi="Arial" w:cs="Arial"/>
          <w:b/>
          <w:color w:val="164194"/>
          <w:sz w:val="30"/>
          <w:szCs w:val="30"/>
        </w:rPr>
        <w:t xml:space="preserve">1. O Espaço</w:t>
      </w:r>
    </w:p>
    <w:p>
      <w:pPr>
        <w:spacing w:before="0" w:after="14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 Centro Cultural Araçá é um equipamento público cultural administrado sob regime de gestão direta pela Secretaria Municipal de Cultura de Araçatuba, e é também um imóvel de valor histórico. Por essa razão, além das regras gerais de uso, aplicam-se restrições específicas de conservação patrimonial, detalhadas na Seção 4 deste Regulamento.</w:t>
      </w:r>
    </w:p>
    <w:p>
      <w:pPr>
        <w:spacing w:before="0" w:after="200"/>
        <w:rPr>
          <w:rFonts w:ascii="Arial" w:hAnsi="Arial" w:cs="Arial"/>
          <w:i/>
          <w:color w:val="595959"/>
          <w:sz w:val="17"/>
          <w:szCs w:val="17"/>
        </w:rPr>
      </w:pPr>
      <w:r>
        <w:rPr>
          <w:rFonts w:ascii="Arial" w:hAnsi="Arial" w:cs="Arial"/>
          <w:i/>
          <w:color w:val="595959"/>
          <w:sz w:val="17"/>
          <w:szCs w:val="17"/>
        </w:rPr>
        <w:t xml:space="preserve">Fonte: Plano de Ocupação, Gestão e Funcionamento do Centro Cultural Araçá, Seções 1 e 2; Despacho técnico do DPPHAC.</w:t>
      </w:r>
    </w:p>
    <w:p>
      <w:pPr>
        <w:keepNext/>
        <w:pBdr>
          <w:bottom w:val="single" w:sz="6" w:space="4" w:color="164194"/>
        </w:pBdr>
        <w:spacing w:before="340" w:after="140"/>
        <w:rPr>
          <w:rFonts w:ascii="Arial" w:hAnsi="Arial" w:cs="Arial"/>
          <w:b/>
          <w:color w:val="164194"/>
          <w:sz w:val="30"/>
          <w:szCs w:val="30"/>
        </w:rPr>
      </w:pPr>
      <w:r>
        <w:rPr>
          <w:rFonts w:ascii="Arial" w:hAnsi="Arial" w:cs="Arial"/>
          <w:b/>
          <w:color w:val="164194"/>
          <w:sz w:val="30"/>
          <w:szCs w:val="30"/>
        </w:rPr>
        <w:t xml:space="preserve">2. Horário de Funcionamento</w:t>
      </w:r>
    </w:p>
    <w:tbl>
      <w:tblPr>
        <w:tblW w:w="8504" w:type="dxa"/>
        <w:tblBorders>
          <w:top w:val="single" w:sz="6" w:space="0" w:color="164194"/>
          <w:left w:val="single" w:sz="6" w:space="0" w:color="164194"/>
          <w:bottom w:val="single" w:sz="6" w:space="0" w:color="164194"/>
          <w:right w:val="single" w:sz="6" w:space="0" w:color="164194"/>
          <w:insideH w:val="single" w:sz="4" w:space="0" w:color="164194"/>
          <w:insideV w:val="single" w:sz="4" w:space="0" w:color="164194"/>
        </w:tblBorders>
        <w:tblLook w:val="04A0" w:firstRow="1" w:lastRow="0" w:firstColumn="0" w:lastColumn="0" w:noHBand="0" w:noVBand="1"/>
      </w:tblPr>
      <w:tblGrid>
        <w:gridCol w:w="2600"/>
        <w:gridCol w:w="3400"/>
        <w:gridCol w:w="2504"/>
      </w:tblGrid>
      <w:tr>
        <w:trPr>
          <w:tblHeader/>
        </w:trPr>
        <w:tc>
          <w:tcPr>
            <w:tcW w:w="2600" w:type="dxa"/>
            <w:shd w:val="clear" w:color="auto" w:fill="164194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Período</w:t>
            </w:r>
          </w:p>
        </w:tc>
        <w:tc>
          <w:tcPr>
            <w:tcW w:w="3400" w:type="dxa"/>
            <w:shd w:val="clear" w:color="auto" w:fill="164194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Dias</w:t>
            </w:r>
          </w:p>
        </w:tc>
        <w:tc>
          <w:tcPr>
            <w:tcW w:w="2504" w:type="dxa"/>
            <w:shd w:val="clear" w:color="auto" w:fill="164194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Horário</w:t>
            </w:r>
          </w:p>
        </w:tc>
      </w:tr>
      <w:tr>
        <w:tc>
          <w:tcPr>
            <w:tcW w:w="2600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Diurno</w:t>
            </w:r>
          </w:p>
        </w:tc>
        <w:tc>
          <w:tcPr>
            <w:tcW w:w="3400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Segunda a sexta-feira</w:t>
            </w:r>
          </w:p>
        </w:tc>
        <w:tc>
          <w:tcPr>
            <w:tcW w:w="2504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8h às 12h</w:t>
            </w:r>
          </w:p>
        </w:tc>
      </w:tr>
      <w:tr>
        <w:tc>
          <w:tcPr>
            <w:tcW w:w="2600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Vespertino</w:t>
            </w:r>
          </w:p>
        </w:tc>
        <w:tc>
          <w:tcPr>
            <w:tcW w:w="3400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Segunda a sexta-feira</w:t>
            </w:r>
          </w:p>
        </w:tc>
        <w:tc>
          <w:tcPr>
            <w:tcW w:w="2504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13h às 18h</w:t>
            </w:r>
          </w:p>
        </w:tc>
      </w:tr>
      <w:tr>
        <w:tc>
          <w:tcPr>
            <w:tcW w:w="2600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Noturno</w:t>
            </w:r>
          </w:p>
        </w:tc>
        <w:tc>
          <w:tcPr>
            <w:tcW w:w="3400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Segunda a sexta-feira</w:t>
            </w:r>
          </w:p>
        </w:tc>
        <w:tc>
          <w:tcPr>
            <w:tcW w:w="2504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18h30 às 22h30</w:t>
            </w:r>
          </w:p>
        </w:tc>
      </w:tr>
      <w:tr>
        <w:tc>
          <w:tcPr>
            <w:tcW w:w="2600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Fins de semana</w:t>
            </w:r>
          </w:p>
        </w:tc>
        <w:tc>
          <w:tcPr>
            <w:tcW w:w="3400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Sábados e domingos</w:t>
            </w:r>
          </w:p>
        </w:tc>
        <w:tc>
          <w:tcPr>
            <w:tcW w:w="2504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9h às 22h</w:t>
            </w:r>
          </w:p>
        </w:tc>
      </w:tr>
      <w:tr>
        <w:tc>
          <w:tcPr>
            <w:tcW w:w="2600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Feriados</w:t>
            </w:r>
          </w:p>
        </w:tc>
        <w:tc>
          <w:tcPr>
            <w:tcW w:w="3400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Sujeito a autorização especial</w:t>
            </w:r>
          </w:p>
        </w:tc>
        <w:tc>
          <w:tcPr>
            <w:tcW w:w="2504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9h às 18h</w:t>
            </w:r>
          </w:p>
        </w:tc>
      </w:tr>
    </w:tbl>
    <w:p>
      <w:pPr>
        <w:spacing w:after="140"/>
      </w:pPr>
    </w:p>
    <w:p>
      <w:pPr>
        <w:spacing w:before="0" w:after="14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 horário de início da atividade deve incluir o tempo de montagem, e o horário de encerramento deve incluir o tempo de desmontagem e limpeza básica. Prorrogações de horário, quando possíveis, devem ser solicitadas com 24 horas de antecedência.</w:t>
      </w:r>
    </w:p>
    <w:p>
      <w:pPr>
        <w:spacing w:before="0" w:after="200"/>
        <w:rPr>
          <w:rFonts w:ascii="Arial" w:hAnsi="Arial" w:cs="Arial"/>
          <w:i/>
          <w:color w:val="595959"/>
          <w:sz w:val="17"/>
          <w:szCs w:val="17"/>
        </w:rPr>
      </w:pPr>
      <w:r>
        <w:rPr>
          <w:rFonts w:ascii="Arial" w:hAnsi="Arial" w:cs="Arial"/>
          <w:i/>
          <w:color w:val="595959"/>
          <w:sz w:val="17"/>
          <w:szCs w:val="17"/>
        </w:rPr>
        <w:t xml:space="preserve">Fonte: Plano, item 5.1.</w:t>
      </w:r>
    </w:p>
    <w:p>
      <w:pPr>
        <w:keepNext/>
        <w:pBdr>
          <w:bottom w:val="single" w:sz="6" w:space="4" w:color="164194"/>
        </w:pBdr>
        <w:spacing w:before="340" w:after="140"/>
        <w:rPr>
          <w:rFonts w:ascii="Arial" w:hAnsi="Arial" w:cs="Arial"/>
          <w:b/>
          <w:color w:val="164194"/>
          <w:sz w:val="30"/>
          <w:szCs w:val="30"/>
        </w:rPr>
      </w:pPr>
      <w:r>
        <w:rPr>
          <w:rFonts w:ascii="Arial" w:hAnsi="Arial" w:cs="Arial"/>
          <w:b/>
          <w:color w:val="164194"/>
          <w:sz w:val="30"/>
          <w:szCs w:val="30"/>
        </w:rPr>
        <w:t xml:space="preserve">3. Modalidades de Uso Permitidas</w:t>
      </w:r>
    </w:p>
    <w:p>
      <w:pPr>
        <w:spacing w:before="0" w:after="14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 Centro Cultural Araçá admite as seguintes modalidades de uso:</w:t>
      </w:r>
    </w:p>
    <w:tbl>
      <w:tblPr>
        <w:tblW w:w="8504" w:type="dxa"/>
        <w:tblBorders>
          <w:top w:val="single" w:sz="6" w:space="0" w:color="164194"/>
          <w:left w:val="single" w:sz="6" w:space="0" w:color="164194"/>
          <w:bottom w:val="single" w:sz="6" w:space="0" w:color="164194"/>
          <w:right w:val="single" w:sz="6" w:space="0" w:color="164194"/>
          <w:insideH w:val="single" w:sz="4" w:space="0" w:color="164194"/>
          <w:insideV w:val="single" w:sz="4" w:space="0" w:color="164194"/>
        </w:tblBorders>
        <w:tblLook w:val="04A0" w:firstRow="1" w:lastRow="0" w:firstColumn="0" w:lastColumn="0" w:noHBand="0" w:noVBand="1"/>
      </w:tblPr>
      <w:tblGrid>
        <w:gridCol w:w="3000"/>
        <w:gridCol w:w="5504"/>
      </w:tblGrid>
      <w:tr>
        <w:trPr>
          <w:tblHeader/>
        </w:trPr>
        <w:tc>
          <w:tcPr>
            <w:tcW w:w="3000" w:type="dxa"/>
            <w:shd w:val="clear" w:color="auto" w:fill="164194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Modalidade</w:t>
            </w:r>
          </w:p>
        </w:tc>
        <w:tc>
          <w:tcPr>
            <w:tcW w:w="5504" w:type="dxa"/>
            <w:shd w:val="clear" w:color="auto" w:fill="164194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Descrição resumida</w:t>
            </w:r>
          </w:p>
        </w:tc>
      </w:tr>
      <w:tr>
        <w:tc>
          <w:tcPr>
            <w:tcW w:w="3000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A — Ensaios e preparação artística</w:t>
            </w:r>
          </w:p>
        </w:tc>
        <w:tc>
          <w:tcPr>
            <w:tcW w:w="5504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Ensaios teatrais, musicais, circenses, de dança e demais linguagens cênicas; leituras dramatizadas; ensaios fotográficos artísticos. Máximo 4h por sessão, restrito ao grupo solicitante.</w:t>
            </w:r>
          </w:p>
        </w:tc>
      </w:tr>
      <w:tr>
        <w:tc>
          <w:tcPr>
            <w:tcW w:w="3000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B — Apresentações ao público</w:t>
            </w:r>
          </w:p>
        </w:tc>
        <w:tc>
          <w:tcPr>
            <w:tcW w:w="5504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Espetáculos, shows, performances, festivais, saraus. Prioridade a fins de semana e feriados. Exige comunicação prévia à Vigilância Sanitária e ao Corpo de Bombeiros se público superior a 100 pessoas.</w:t>
            </w:r>
          </w:p>
        </w:tc>
      </w:tr>
      <w:tr>
        <w:tc>
          <w:tcPr>
            <w:tcW w:w="3000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C — Exposições</w:t>
            </w:r>
          </w:p>
        </w:tc>
        <w:tc>
          <w:tcPr>
            <w:tcW w:w="5504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Artes visuais, fotografia, escultura, instalações. Prazo máximo de 30 dias corridos, prorrogável por mais 15 mediante justificativa. Montagem, manutenção e desmontagem são de responsabilidade do artista.</w:t>
            </w:r>
          </w:p>
        </w:tc>
      </w:tr>
      <w:tr>
        <w:tc>
          <w:tcPr>
            <w:tcW w:w="3000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D — Oficinas, cursos e formações</w:t>
            </w:r>
          </w:p>
        </w:tc>
        <w:tc>
          <w:tcPr>
            <w:tcW w:w="5504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Prioridade a atividades gratuitas ou de valor popular (máx. R$ 50,00 por participante/encontro). Máximo de 30 participantes por turma.</w:t>
            </w:r>
          </w:p>
        </w:tc>
      </w:tr>
      <w:tr>
        <w:tc>
          <w:tcPr>
            <w:tcW w:w="3000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E — Feiras e eventos culturais coletivos</w:t>
            </w:r>
          </w:p>
        </w:tc>
        <w:tc>
          <w:tcPr>
            <w:tcW w:w="5504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Economia criativa, artesanato, design independente, bazares de arte. Requer lista prévia de participantes e confirmação de natureza cultural.</w:t>
            </w:r>
          </w:p>
        </w:tc>
      </w:tr>
      <w:tr>
        <w:tc>
          <w:tcPr>
            <w:tcW w:w="3000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F — Gravações audiovisuais</w:t>
            </w:r>
          </w:p>
        </w:tc>
        <w:tc>
          <w:tcPr>
            <w:tcW w:w="5504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Videoclipes, curtas, documentários, podcasts em vídeo. Duração máxima de 8h por dia. Crédito ao espaço público obrigatório no material produzido.</w:t>
            </w:r>
          </w:p>
        </w:tc>
      </w:tr>
      <w:tr>
        <w:tc>
          <w:tcPr>
            <w:tcW w:w="3000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G — Reuniões e assembleias culturais</w:t>
            </w:r>
          </w:p>
        </w:tc>
        <w:tc>
          <w:tcPr>
            <w:tcW w:w="5504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Reuniões de coletivos, associações e conselhos setoriais. Máximo 3h por reunião. Não inclui reuniões político-partidárias.</w:t>
            </w:r>
          </w:p>
        </w:tc>
      </w:tr>
    </w:tbl>
    <w:p>
      <w:pPr>
        <w:spacing w:after="140"/>
      </w:pPr>
    </w:p>
    <w:p>
      <w:pPr>
        <w:spacing w:before="0" w:after="200"/>
        <w:rPr>
          <w:rFonts w:ascii="Arial" w:hAnsi="Arial" w:cs="Arial"/>
          <w:i/>
          <w:color w:val="595959"/>
          <w:sz w:val="17"/>
          <w:szCs w:val="17"/>
        </w:rPr>
      </w:pPr>
      <w:r>
        <w:rPr>
          <w:rFonts w:ascii="Arial" w:hAnsi="Arial" w:cs="Arial"/>
          <w:i/>
          <w:color w:val="595959"/>
          <w:sz w:val="17"/>
          <w:szCs w:val="17"/>
        </w:rPr>
        <w:t xml:space="preserve">Fonte: Plano, Seção 3. Restrições adicionais de peso e fixação para as modalidades C, D e E, compatíveis com o imóvel histórico, aplicam-se conforme a Seção 4 deste Regulamento.</w:t>
      </w:r>
    </w:p>
    <w:p>
      <w:pPr>
        <w:keepNext/>
        <w:pBdr>
          <w:bottom w:val="single" w:sz="6" w:space="4" w:color="164194"/>
        </w:pBdr>
        <w:spacing w:before="340" w:after="140"/>
        <w:rPr>
          <w:rFonts w:ascii="Arial" w:hAnsi="Arial" w:cs="Arial"/>
          <w:b/>
          <w:color w:val="164194"/>
          <w:sz w:val="30"/>
          <w:szCs w:val="30"/>
        </w:rPr>
      </w:pPr>
      <w:r>
        <w:rPr>
          <w:rFonts w:ascii="Arial" w:hAnsi="Arial" w:cs="Arial"/>
          <w:b/>
          <w:color w:val="164194"/>
          <w:sz w:val="30"/>
          <w:szCs w:val="30"/>
        </w:rPr>
        <w:t xml:space="preserve">4. Regras Específicas do Imóvel Histórico</w:t>
      </w:r>
    </w:p>
    <w:p>
      <w:pPr>
        <w:spacing w:before="0" w:after="14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Por se tratar de imóvel de valor histórico, aplicam-se as seguintes regras adicionais, cuja observância é condição para o uso do espaço:</w:t>
      </w:r>
    </w:p>
    <w:p>
      <w:pPr>
        <w:keepNext/>
        <w:spacing w:before="220" w:after="100"/>
        <w:rPr>
          <w:rFonts w:ascii="Arial" w:hAnsi="Arial" w:cs="Arial"/>
          <w:b/>
          <w:color w:val="3E6BC4"/>
          <w:sz w:val="24"/>
          <w:szCs w:val="24"/>
        </w:rPr>
      </w:pPr>
      <w:r>
        <w:rPr>
          <w:rFonts w:ascii="Arial" w:hAnsi="Arial" w:cs="Arial"/>
          <w:b/>
          <w:color w:val="3E6BC4"/>
          <w:sz w:val="24"/>
          <w:szCs w:val="24"/>
        </w:rPr>
        <w:t xml:space="preserve">4.1 Atividades e usos permitidos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Atividades de baixo impacto físico: exposições, rodas de conversa, saraus, oficinas leves, ensaios sem grandes estruturas, reuniões, lançamentos, mostras fotográficas/audiovisuais.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Uso de mobiliário móvel leve (cadeiras, cavaletes, mesas dobráveis), sem fixação ao piso ou às paredes.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Sinalização e materiais expositivos apoiados em suportes próprios (cavaletes, painéis autoportantes, molduras com pé), sem fixação ao piso ou às paredes.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Gravações e fotografias que não exijam iluminação de alta potência/calor próxima ao forro e/ou ao assoalho de madeira.</w:t>
      </w:r>
    </w:p>
    <w:p>
      <w:pPr>
        <w:spacing w:after="100"/>
      </w:pPr>
    </w:p>
    <w:p>
      <w:pPr>
        <w:keepNext/>
        <w:spacing w:before="220" w:after="100"/>
        <w:rPr>
          <w:rFonts w:ascii="Arial" w:hAnsi="Arial" w:cs="Arial"/>
          <w:b/>
          <w:color w:val="3E6BC4"/>
          <w:sz w:val="24"/>
          <w:szCs w:val="24"/>
        </w:rPr>
      </w:pPr>
      <w:r>
        <w:rPr>
          <w:rFonts w:ascii="Arial" w:hAnsi="Arial" w:cs="Arial"/>
          <w:b/>
          <w:color w:val="3E6BC4"/>
          <w:sz w:val="24"/>
          <w:szCs w:val="24"/>
        </w:rPr>
        <w:t xml:space="preserve">4.2 Piso de madeira — proibições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Fixar fita adesiva de qualquer tipo diretamente sobre o piso (inclusive fita de sinalização de palco).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Arrastar móveis, estruturas ou equipamentos pesados (usar sempre protetores de feltro/silicone nos pés).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Uso de saltos finos (“agulha”) em apresentações de dança/desfiles, sem proteção do piso.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Contato com líquidos: bebidas, tintas, produtos de limpeza abrasivos, velas.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Tráfego de carrinhos com rodas rígidas sem proteção.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Atividades com impacto físico repetitivo ou de alta intensidade sobre o assoalho (saltos, sapateado, percussão corporal, coreografias de grupo com movimentação intensa ou qualquer atividade que gere vibração ou sobrecarga concentrada no piso).</w:t>
      </w:r>
    </w:p>
    <w:p>
      <w:pPr>
        <w:spacing w:after="100"/>
      </w:pPr>
    </w:p>
    <w:p>
      <w:pPr>
        <w:keepNext/>
        <w:spacing w:before="220" w:after="100"/>
        <w:rPr>
          <w:rFonts w:ascii="Arial" w:hAnsi="Arial" w:cs="Arial"/>
          <w:b/>
          <w:color w:val="3E6BC4"/>
          <w:sz w:val="24"/>
          <w:szCs w:val="24"/>
        </w:rPr>
      </w:pPr>
      <w:r>
        <w:rPr>
          <w:rFonts w:ascii="Arial" w:hAnsi="Arial" w:cs="Arial"/>
          <w:b/>
          <w:color w:val="3E6BC4"/>
          <w:sz w:val="24"/>
          <w:szCs w:val="24"/>
        </w:rPr>
        <w:t xml:space="preserve">4.3 Paredes — proibições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Fixação de cartazes, banners, adesivos, quadros ou qualquer material com prego, parafuso, fita adesiva (inclusive dupla-face), cola ou fita crepe sobre a pintura original ou revestimentos históricos. Uso somente de suportes próprios (cavaletes, expositores, varais com pesos).</w:t>
      </w:r>
    </w:p>
    <w:p>
      <w:pPr>
        <w:spacing w:after="100"/>
      </w:pPr>
    </w:p>
    <w:p>
      <w:pPr>
        <w:keepNext/>
        <w:spacing w:before="220" w:after="100"/>
        <w:rPr>
          <w:rFonts w:ascii="Arial" w:hAnsi="Arial" w:cs="Arial"/>
          <w:b/>
          <w:color w:val="3E6BC4"/>
          <w:sz w:val="24"/>
          <w:szCs w:val="24"/>
        </w:rPr>
      </w:pPr>
      <w:r>
        <w:rPr>
          <w:rFonts w:ascii="Arial" w:hAnsi="Arial" w:cs="Arial"/>
          <w:b/>
          <w:color w:val="3E6BC4"/>
          <w:sz w:val="24"/>
          <w:szCs w:val="24"/>
        </w:rPr>
        <w:t xml:space="preserve">4.4 Forro de madeira — proibições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Fixação de qualquer estrutura suspensa (rebatedores de luz, treliças, teto decorativo, banners suspensos, luminárias adicionais) sem laudo técnico prévio.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Uso de refletores de alta emissão de calor próximos ao forro.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Uso de fumaça artificial, neblina ou pirotecnia de qualquer tipo em ambiente interno.</w:t>
      </w:r>
    </w:p>
    <w:p>
      <w:pPr>
        <w:spacing w:after="100"/>
      </w:pPr>
    </w:p>
    <w:p>
      <w:pPr>
        <w:keepNext/>
        <w:spacing w:before="220" w:after="100"/>
        <w:rPr>
          <w:rFonts w:ascii="Arial" w:hAnsi="Arial" w:cs="Arial"/>
          <w:b/>
          <w:color w:val="3E6BC4"/>
          <w:sz w:val="24"/>
          <w:szCs w:val="24"/>
        </w:rPr>
      </w:pPr>
      <w:r>
        <w:rPr>
          <w:rFonts w:ascii="Arial" w:hAnsi="Arial" w:cs="Arial"/>
          <w:b/>
          <w:color w:val="3E6BC4"/>
          <w:sz w:val="24"/>
          <w:szCs w:val="24"/>
        </w:rPr>
        <w:t xml:space="preserve">4.5 Som e vibração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O volume e o uso de caixas de grave (subwoofer) apoiadas diretamente no piso de madeira devem ser limitados/isolados com base específica, pelo risco de rachaduras por vibração prolongada.</w:t>
      </w:r>
    </w:p>
    <w:p>
      <w:pPr>
        <w:spacing w:after="100"/>
      </w:pPr>
    </w:p>
    <w:p>
      <w:pPr>
        <w:keepNext/>
        <w:spacing w:before="220" w:after="100"/>
        <w:rPr>
          <w:rFonts w:ascii="Arial" w:hAnsi="Arial" w:cs="Arial"/>
          <w:b/>
          <w:color w:val="3E6BC4"/>
          <w:sz w:val="24"/>
          <w:szCs w:val="24"/>
        </w:rPr>
      </w:pPr>
      <w:r>
        <w:rPr>
          <w:rFonts w:ascii="Arial" w:hAnsi="Arial" w:cs="Arial"/>
          <w:b/>
          <w:color w:val="3E6BC4"/>
          <w:sz w:val="24"/>
          <w:szCs w:val="24"/>
        </w:rPr>
        <w:t xml:space="preserve">4.6 Estrutura geral — proibições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Uso de fogo, velas, incensos ou qualquer fonte de chama aberta.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Furar, cortar, lixar, pintar ou alterar qualquer elemento construtivo original.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Movimentar paredes divisórias, portas ou esquadrias originais.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Uso de escadas ou andaimes apoiados diretamente sobre o piso de madeira, sem proteção.</w:t>
      </w:r>
    </w:p>
    <w:p>
      <w:pPr>
        <w:spacing w:after="100"/>
      </w:pPr>
    </w:p>
    <w:p>
      <w:pPr>
        <w:keepNext/>
        <w:spacing w:before="220" w:after="100"/>
        <w:rPr>
          <w:rFonts w:ascii="Arial" w:hAnsi="Arial" w:cs="Arial"/>
          <w:b/>
          <w:color w:val="3E6BC4"/>
          <w:sz w:val="24"/>
          <w:szCs w:val="24"/>
        </w:rPr>
      </w:pPr>
      <w:r>
        <w:rPr>
          <w:rFonts w:ascii="Arial" w:hAnsi="Arial" w:cs="Arial"/>
          <w:b/>
          <w:color w:val="3E6BC4"/>
          <w:sz w:val="24"/>
          <w:szCs w:val="24"/>
        </w:rPr>
        <w:t xml:space="preserve">4.7 Carga e superlotação</w:t>
      </w:r>
    </w:p>
    <w:p>
      <w:pPr>
        <w:spacing w:before="0" w:after="14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 lotação deve considerar não apenas o Auto de Vistoria do Corpo de Bombeiros (AVCB), mas também a capacidade estrutural do piso de madeira, ainda pendente de avaliação técnica do Departamento de Patrimônio (laudo de engenharia ainda ausente).</w:t>
      </w:r>
    </w:p>
    <w:p>
      <w:pPr>
        <w:spacing w:before="0" w:after="200"/>
        <w:rPr>
          <w:rFonts w:ascii="Arial" w:hAnsi="Arial" w:cs="Arial"/>
          <w:i/>
          <w:color w:val="595959"/>
          <w:sz w:val="17"/>
          <w:szCs w:val="17"/>
        </w:rPr>
      </w:pPr>
      <w:r>
        <w:rPr>
          <w:rFonts w:ascii="Arial" w:hAnsi="Arial" w:cs="Arial"/>
          <w:i/>
          <w:color w:val="595959"/>
          <w:sz w:val="17"/>
          <w:szCs w:val="17"/>
        </w:rPr>
        <w:t xml:space="preserve">Fonte: Despacho técnico do DPPHAC (Arq.ª Manuella Boreggio Costa dos Santos), item 1.1.</w:t>
      </w:r>
    </w:p>
    <w:p>
      <w:pPr>
        <w:keepNext/>
        <w:pBdr>
          <w:bottom w:val="single" w:sz="6" w:space="4" w:color="164194"/>
        </w:pBdr>
        <w:spacing w:before="340" w:after="140"/>
        <w:rPr>
          <w:rFonts w:ascii="Arial" w:hAnsi="Arial" w:cs="Arial"/>
          <w:b/>
          <w:color w:val="164194"/>
          <w:sz w:val="30"/>
          <w:szCs w:val="30"/>
        </w:rPr>
      </w:pPr>
      <w:r>
        <w:rPr>
          <w:rFonts w:ascii="Arial" w:hAnsi="Arial" w:cs="Arial"/>
          <w:b/>
          <w:color w:val="164194"/>
          <w:sz w:val="30"/>
          <w:szCs w:val="30"/>
        </w:rPr>
        <w:t xml:space="preserve">5. Ausência de Infraestrutura e Equipamentos Técnicos</w:t>
      </w:r>
    </w:p>
    <w:p>
      <w:pPr>
        <w:spacing w:before="0" w:after="14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Neste momento, o Centro Cultural Araçá NÃO dispõe de equipamentos técnicos (som, iluminação, projeção, mobiliário, extensões, estrutura de palco) nem de técnico de operação. Ficam estabelecidas as seguintes regras: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Equipamentos técnicos são de responsabilidade e ônus do(a) solicitante.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A verificação prévia da compatibilidade de potência/carga dos equipamentos eletroeletrônicos com a rede elétrica existente é de responsabilidade do(a) solicitante, com acompanhamento de servidor(a) designado(a) pela SMC.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Extensões e fiação extra são de responsabilidade do(a) solicitante. É proibido perfurar paredes/piso para passagem de cabos; usar apenas calhas/canaletas removíveis ou fita antiderrapante atóxica de baixa aderência.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Instalações fixas ou estruturas autoportantes pesadas (palcos elevados, treliças, torres de som) exigem laudo técnico de compatibilidade com o piso e a estrutura do imóvel, sob responsabilidade do(a) solicitante, com acompanhamento de servidor(a) designado(a) pela SMC.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A operação de qualquer equipamento de sonorização e/ou iluminação levado pelo(a) solicitante é de sua exclusiva responsabilidade, devendo disponibilizar, às suas expensas, profissional técnico habilitado. A Secretaria Municipal de Cultura não disponibiliza, neste momento, técnico de luz e som, tampouco se responsabiliza pela operação de equipamentos de terceiros.</w:t>
      </w:r>
    </w:p>
    <w:p>
      <w:pPr>
        <w:spacing w:before="0" w:after="200"/>
        <w:rPr>
          <w:rFonts w:ascii="Arial" w:hAnsi="Arial" w:cs="Arial"/>
          <w:i/>
          <w:color w:val="595959"/>
          <w:sz w:val="17"/>
          <w:szCs w:val="17"/>
        </w:rPr>
      </w:pPr>
      <w:r>
        <w:rPr>
          <w:rFonts w:ascii="Arial" w:hAnsi="Arial" w:cs="Arial"/>
          <w:i/>
          <w:color w:val="595959"/>
          <w:sz w:val="17"/>
          <w:szCs w:val="17"/>
        </w:rPr>
        <w:t xml:space="preserve">Fonte: Despacho técnico do DPPHAC, item 1.2.</w:t>
      </w:r>
    </w:p>
    <w:p>
      <w:pPr>
        <w:keepNext/>
        <w:pBdr>
          <w:bottom w:val="single" w:sz="6" w:space="4" w:color="164194"/>
        </w:pBdr>
        <w:spacing w:before="340" w:after="140"/>
        <w:rPr>
          <w:rFonts w:ascii="Arial" w:hAnsi="Arial" w:cs="Arial"/>
          <w:b/>
          <w:color w:val="164194"/>
          <w:sz w:val="30"/>
          <w:szCs w:val="30"/>
        </w:rPr>
      </w:pPr>
      <w:r>
        <w:rPr>
          <w:rFonts w:ascii="Arial" w:hAnsi="Arial" w:cs="Arial"/>
          <w:b/>
          <w:color w:val="164194"/>
          <w:sz w:val="30"/>
          <w:szCs w:val="30"/>
        </w:rPr>
        <w:t xml:space="preserve">6. Responsabilidades do(a) Usuário(a)</w:t>
      </w:r>
    </w:p>
    <w:p>
      <w:pPr>
        <w:spacing w:before="0" w:after="14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O(A) responsável cadastrado(a) pela solicitação de uso assume, ao assinar o Termo de Cessão de Uso, as seguintes obrigações: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Zelar pelo espaço, equipamentos, mobiliário e instalações durante todo o período de uso, com atenção especial aos elementos históricos (assoalho, forro, esquadrias, elementos arquitetônicos originais).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Devolver o espaço nas mesmas condições físicas em que o recebeu, limpo, organizado e com os equipamentos no lugar, incluindo remoção de lixo e desligamento de equipamentos próprios.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Remover integralmente fitas, adesivos, fixações e materiais de cenografia ao final da atividade, sem deixar resíduos de cola ou marcas.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Responsabilizar-se por danos ao piso e ao forro de madeira, mesmo que decorrentes de uso indireto (ex.: vazamento de equipamento próprio, marcas de sapato, manchas).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Comunicar de imediato qualquer dano, rachadura, infiltração ou anomalia percebida no imóvel — mesmo que não causada pelo(a) próprio(a) usuário(a) — sob pena de presunção de responsabilidade em caso de omissão.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Cumprir rigorosamente os horários aprovados, tanto de início quanto de encerramento.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Garantir que o número de participantes/público não ultrapasse a lotação máxima permitida.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Não sublocar, ceder ou permitir uso por terceiros não indicados na solicitação.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Manter registro fotográfico da atividade e apresentá-lo quando exigido como contrapartida documental.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Não iniciar a atividade antes da assinatura do Termo de Cessão de Uso.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Assumir responsabilidade civil e criminal por danos causados ao patrimônio público.</w:t>
      </w:r>
    </w:p>
    <w:p>
      <w:pPr>
        <w:spacing w:before="0" w:after="200"/>
        <w:rPr>
          <w:rFonts w:ascii="Arial" w:hAnsi="Arial" w:cs="Arial"/>
          <w:i/>
          <w:color w:val="595959"/>
          <w:sz w:val="17"/>
          <w:szCs w:val="17"/>
        </w:rPr>
      </w:pPr>
      <w:r>
        <w:rPr>
          <w:rFonts w:ascii="Arial" w:hAnsi="Arial" w:cs="Arial"/>
          <w:i/>
          <w:color w:val="595959"/>
          <w:sz w:val="17"/>
          <w:szCs w:val="17"/>
        </w:rPr>
        <w:t xml:space="preserve">Fonte: Plano, Seção 6; Despacho técnico do DPPHAC, item 2.</w:t>
      </w:r>
    </w:p>
    <w:p>
      <w:pPr>
        <w:keepNext/>
        <w:pBdr>
          <w:bottom w:val="single" w:sz="6" w:space="4" w:color="164194"/>
        </w:pBdr>
        <w:spacing w:before="340" w:after="140"/>
        <w:rPr>
          <w:rFonts w:ascii="Arial" w:hAnsi="Arial" w:cs="Arial"/>
          <w:b/>
          <w:color w:val="164194"/>
          <w:sz w:val="30"/>
          <w:szCs w:val="30"/>
        </w:rPr>
      </w:pPr>
      <w:r>
        <w:rPr>
          <w:rFonts w:ascii="Arial" w:hAnsi="Arial" w:cs="Arial"/>
          <w:b/>
          <w:color w:val="164194"/>
          <w:sz w:val="30"/>
          <w:szCs w:val="30"/>
        </w:rPr>
        <w:t xml:space="preserve">7. Vedações Expressas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Consumo ou venda de bebidas alcoólicas sem autorização municipal específica (alvará de funcionamento temporário).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Fumar no interior do espaço.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Uso do espaço para fins político-partidários, religiosos exclusivistas ou de caráter discriminatório.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Cessão, sublocação ou transferência do uso a terceiros não indicados na solicitação.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Fixação de materiais nas paredes com prego, parafuso ou fita adesiva de alta aderência sem autorização.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Entrada de animais, salvo quando devidamente autorizado para fins artísticos específicos.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Utilização do espaço para atividades ilícitas ou que atentem contra a ordem pública.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Entrada de público após o horário-limite de 22h30.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Uso comercial da imagem do espaço sem autorização.</w:t>
      </w:r>
    </w:p>
    <w:p>
      <w:pPr>
        <w:spacing w:before="0" w:after="200"/>
        <w:rPr>
          <w:rFonts w:ascii="Arial" w:hAnsi="Arial" w:cs="Arial"/>
          <w:i/>
          <w:color w:val="595959"/>
          <w:sz w:val="17"/>
          <w:szCs w:val="17"/>
        </w:rPr>
      </w:pPr>
      <w:r>
        <w:rPr>
          <w:rFonts w:ascii="Arial" w:hAnsi="Arial" w:cs="Arial"/>
          <w:i/>
          <w:color w:val="595959"/>
          <w:sz w:val="17"/>
          <w:szCs w:val="17"/>
        </w:rPr>
        <w:t xml:space="preserve">Fonte: Plano, Seção 5.6 — vedações gerais aplicáveis a todos os espaços culturais da SMC, somadas às vedações patrimoniais específicas da Seção 4 deste Regulamento.</w:t>
      </w:r>
    </w:p>
    <w:p>
      <w:pPr>
        <w:keepNext/>
        <w:pBdr>
          <w:bottom w:val="single" w:sz="6" w:space="4" w:color="164194"/>
        </w:pBdr>
        <w:spacing w:before="340" w:after="140"/>
        <w:rPr>
          <w:rFonts w:ascii="Arial" w:hAnsi="Arial" w:cs="Arial"/>
          <w:b/>
          <w:color w:val="164194"/>
          <w:sz w:val="30"/>
          <w:szCs w:val="30"/>
        </w:rPr>
      </w:pPr>
      <w:r>
        <w:rPr>
          <w:rFonts w:ascii="Arial" w:hAnsi="Arial" w:cs="Arial"/>
          <w:b/>
          <w:color w:val="164194"/>
          <w:sz w:val="30"/>
          <w:szCs w:val="30"/>
        </w:rPr>
        <w:t xml:space="preserve">8. Contrapartidas</w:t>
      </w:r>
    </w:p>
    <w:tbl>
      <w:tblPr>
        <w:tblW w:w="8504" w:type="dxa"/>
        <w:tblBorders>
          <w:top w:val="single" w:sz="6" w:space="0" w:color="164194"/>
          <w:left w:val="single" w:sz="6" w:space="0" w:color="164194"/>
          <w:bottom w:val="single" w:sz="6" w:space="0" w:color="164194"/>
          <w:right w:val="single" w:sz="6" w:space="0" w:color="164194"/>
          <w:insideH w:val="single" w:sz="4" w:space="0" w:color="164194"/>
          <w:insideV w:val="single" w:sz="4" w:space="0" w:color="164194"/>
        </w:tblBorders>
        <w:tblLook w:val="04A0" w:firstRow="1" w:lastRow="0" w:firstColumn="0" w:lastColumn="0" w:noHBand="0" w:noVBand="1"/>
      </w:tblPr>
      <w:tblGrid>
        <w:gridCol w:w="3400"/>
        <w:gridCol w:w="5104"/>
      </w:tblGrid>
      <w:tr>
        <w:trPr>
          <w:tblHeader/>
        </w:trPr>
        <w:tc>
          <w:tcPr>
            <w:tcW w:w="3400" w:type="dxa"/>
            <w:shd w:val="clear" w:color="auto" w:fill="164194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Tipo de uso</w:t>
            </w:r>
          </w:p>
        </w:tc>
        <w:tc>
          <w:tcPr>
            <w:tcW w:w="5104" w:type="dxa"/>
            <w:shd w:val="clear" w:color="auto" w:fill="164194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Contrapartida</w:t>
            </w:r>
          </w:p>
        </w:tc>
      </w:tr>
      <w:tr>
        <w:tc>
          <w:tcPr>
            <w:tcW w:w="3400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Uso gratuito — atividade aberta</w:t>
            </w:r>
          </w:p>
        </w:tc>
        <w:tc>
          <w:tcPr>
            <w:tcW w:w="5104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Nenhuma (isento); relatório fotográfico.</w:t>
            </w:r>
          </w:p>
        </w:tc>
      </w:tr>
      <w:tr>
        <w:tc>
          <w:tcPr>
            <w:tcW w:w="3400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Uso para ensaios</w:t>
            </w:r>
          </w:p>
        </w:tc>
        <w:tc>
          <w:tcPr>
            <w:tcW w:w="5104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Mínimo 1 apresentação pública gratuita/ano no espaço.</w:t>
            </w:r>
          </w:p>
        </w:tc>
      </w:tr>
      <w:tr>
        <w:tc>
          <w:tcPr>
            <w:tcW w:w="3400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Uso para oficinas pagas</w:t>
            </w:r>
          </w:p>
        </w:tc>
        <w:tc>
          <w:tcPr>
            <w:tcW w:w="5104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20% das vagas reservadas para inscrições gratuitas.</w:t>
            </w:r>
          </w:p>
        </w:tc>
      </w:tr>
      <w:tr>
        <w:tc>
          <w:tcPr>
            <w:tcW w:w="3400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Uso para feiras/exposições</w:t>
            </w:r>
          </w:p>
        </w:tc>
        <w:tc>
          <w:tcPr>
            <w:tcW w:w="5104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Registro audiovisual cedido à Secretaria de Cultura.</w:t>
            </w:r>
          </w:p>
        </w:tc>
      </w:tr>
      <w:tr>
        <w:tc>
          <w:tcPr>
            <w:tcW w:w="3400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Uso para gravações comerciais</w:t>
            </w:r>
          </w:p>
        </w:tc>
        <w:tc>
          <w:tcPr>
            <w:tcW w:w="5104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Crédito ao espaço + 1 cópia do material.</w:t>
            </w:r>
          </w:p>
        </w:tc>
      </w:tr>
      <w:tr>
        <w:tc>
          <w:tcPr>
            <w:tcW w:w="3400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Cursos de formação pagos</w:t>
            </w:r>
          </w:p>
        </w:tc>
        <w:tc>
          <w:tcPr>
            <w:tcW w:w="5104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1 turma gratuita por semestre, a critério da Secretaria.</w:t>
            </w:r>
          </w:p>
        </w:tc>
      </w:tr>
    </w:tbl>
    <w:p>
      <w:pPr>
        <w:spacing w:after="140"/>
      </w:pPr>
    </w:p>
    <w:p>
      <w:pPr>
        <w:spacing w:before="0" w:after="200"/>
        <w:rPr>
          <w:rFonts w:ascii="Arial" w:hAnsi="Arial" w:cs="Arial"/>
          <w:i/>
          <w:color w:val="595959"/>
          <w:sz w:val="17"/>
          <w:szCs w:val="17"/>
        </w:rPr>
      </w:pPr>
      <w:r>
        <w:rPr>
          <w:rFonts w:ascii="Arial" w:hAnsi="Arial" w:cs="Arial"/>
          <w:i/>
          <w:color w:val="595959"/>
          <w:sz w:val="17"/>
          <w:szCs w:val="17"/>
        </w:rPr>
        <w:t xml:space="preserve">Fonte: Plano, Seção 8.</w:t>
      </w:r>
    </w:p>
    <w:p>
      <w:pPr>
        <w:keepNext/>
        <w:pBdr>
          <w:bottom w:val="single" w:sz="6" w:space="4" w:color="164194"/>
        </w:pBdr>
        <w:spacing w:before="340" w:after="140"/>
        <w:rPr>
          <w:rFonts w:ascii="Arial" w:hAnsi="Arial" w:cs="Arial"/>
          <w:b/>
          <w:color w:val="164194"/>
          <w:sz w:val="30"/>
          <w:szCs w:val="30"/>
        </w:rPr>
      </w:pPr>
      <w:r>
        <w:rPr>
          <w:rFonts w:ascii="Arial" w:hAnsi="Arial" w:cs="Arial"/>
          <w:b/>
          <w:color w:val="164194"/>
          <w:sz w:val="30"/>
          <w:szCs w:val="30"/>
        </w:rPr>
        <w:t xml:space="preserve">9. Como Solicitar o Uso do Espaço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A solicitação é feita exclusivamente pelo site institucional da Secretaria Municipal de Cultura, com antecedência mínima de 7 dias corridos (atividades de até 4 horas) ou 15 dias corridos (eventos com público superior a 50 pessoas ou ocupação integral do espaço).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A Secretaria terá até 3 dias úteis para analisar e responder cada solicitação, com decisão comunicada por e-mail.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Solicitações que envolvam risco ao patrimônio (equipamentos de alta carga, montagem de estruturas, fixações, entre outros) são encaminhadas também ao DPPHAC para parecer técnico conjunto antes da aprovação.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A assinatura do Termo de Cessão de Uso é condição indispensável para o início de qualquer atividade.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A liberação e a devolução do espaço são precedidas de vistoria de entrada e de saída.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Em caso de indeferimento, é possível recurso administrativo em até 5 dias úteis ao(à) Secretário(a) Municipal de Cultura.</w:t>
      </w:r>
    </w:p>
    <w:p>
      <w:pPr>
        <w:spacing w:before="0" w:after="200"/>
        <w:rPr>
          <w:rFonts w:ascii="Arial" w:hAnsi="Arial" w:cs="Arial"/>
          <w:i/>
          <w:color w:val="595959"/>
          <w:sz w:val="17"/>
          <w:szCs w:val="17"/>
        </w:rPr>
      </w:pPr>
      <w:r>
        <w:rPr>
          <w:rFonts w:ascii="Arial" w:hAnsi="Arial" w:cs="Arial"/>
          <w:i/>
          <w:color w:val="595959"/>
          <w:sz w:val="17"/>
          <w:szCs w:val="17"/>
        </w:rPr>
        <w:t xml:space="preserve">Fonte: Plano, itens 4.3, 4.5 e 2.3; Despacho técnico do DPPHAC, item 3.</w:t>
      </w:r>
    </w:p>
    <w:p>
      <w:pPr>
        <w:keepNext/>
        <w:pBdr>
          <w:bottom w:val="single" w:sz="6" w:space="4" w:color="164194"/>
        </w:pBdr>
        <w:spacing w:before="340" w:after="140"/>
        <w:rPr>
          <w:rFonts w:ascii="Arial" w:hAnsi="Arial" w:cs="Arial"/>
          <w:b/>
          <w:color w:val="164194"/>
          <w:sz w:val="30"/>
          <w:szCs w:val="30"/>
        </w:rPr>
      </w:pPr>
      <w:r>
        <w:rPr>
          <w:rFonts w:ascii="Arial" w:hAnsi="Arial" w:cs="Arial"/>
          <w:b/>
          <w:color w:val="164194"/>
          <w:sz w:val="30"/>
          <w:szCs w:val="30"/>
        </w:rPr>
        <w:t xml:space="preserve">10. Penalidades</w:t>
      </w:r>
    </w:p>
    <w:tbl>
      <w:tblPr>
        <w:tblW w:w="8504" w:type="dxa"/>
        <w:tblBorders>
          <w:top w:val="single" w:sz="6" w:space="0" w:color="164194"/>
          <w:left w:val="single" w:sz="6" w:space="0" w:color="164194"/>
          <w:bottom w:val="single" w:sz="6" w:space="0" w:color="164194"/>
          <w:right w:val="single" w:sz="6" w:space="0" w:color="164194"/>
          <w:insideH w:val="single" w:sz="4" w:space="0" w:color="164194"/>
          <w:insideV w:val="single" w:sz="4" w:space="0" w:color="164194"/>
        </w:tblBorders>
        <w:tblLook w:val="04A0" w:firstRow="1" w:lastRow="0" w:firstColumn="0" w:lastColumn="0" w:noHBand="0" w:noVBand="1"/>
      </w:tblPr>
      <w:tblGrid>
        <w:gridCol w:w="1500"/>
        <w:gridCol w:w="4304"/>
        <w:gridCol w:w="2700"/>
      </w:tblGrid>
      <w:tr>
        <w:trPr>
          <w:tblHeader/>
        </w:trPr>
        <w:tc>
          <w:tcPr>
            <w:tcW w:w="1500" w:type="dxa"/>
            <w:shd w:val="clear" w:color="auto" w:fill="164194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Gravidade</w:t>
            </w:r>
          </w:p>
        </w:tc>
        <w:tc>
          <w:tcPr>
            <w:tcW w:w="4304" w:type="dxa"/>
            <w:shd w:val="clear" w:color="auto" w:fill="164194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Exemplos</w:t>
            </w:r>
          </w:p>
        </w:tc>
        <w:tc>
          <w:tcPr>
            <w:tcW w:w="2700" w:type="dxa"/>
            <w:shd w:val="clear" w:color="auto" w:fill="164194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Sanção</w:t>
            </w:r>
          </w:p>
        </w:tc>
      </w:tr>
      <w:tr>
        <w:tc>
          <w:tcPr>
            <w:tcW w:w="1500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Leve</w:t>
            </w:r>
          </w:p>
        </w:tc>
        <w:tc>
          <w:tcPr>
            <w:tcW w:w="4304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Atraso no encerramento (até 30 min), falta de limpeza básica, não entrega do relatório</w:t>
            </w:r>
          </w:p>
        </w:tc>
        <w:tc>
          <w:tcPr>
            <w:tcW w:w="2700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Advertência formal</w:t>
            </w:r>
          </w:p>
        </w:tc>
      </w:tr>
      <w:tr>
        <w:tc>
          <w:tcPr>
            <w:tcW w:w="1500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Média</w:t>
            </w:r>
          </w:p>
        </w:tc>
        <w:tc>
          <w:tcPr>
            <w:tcW w:w="4304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Atraso reiterado, leve dano ao patrimônio, uso de equipamentos sem autorização</w:t>
            </w:r>
          </w:p>
        </w:tc>
        <w:tc>
          <w:tcPr>
            <w:tcW w:w="2700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Suspensão de 30 dias + ressarcimento</w:t>
            </w:r>
          </w:p>
        </w:tc>
      </w:tr>
      <w:tr>
        <w:tc>
          <w:tcPr>
            <w:tcW w:w="1500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Grave</w:t>
            </w:r>
          </w:p>
        </w:tc>
        <w:tc>
          <w:tcPr>
            <w:tcW w:w="4304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Superlotação, dano grave ao patrimônio, cessão a terceiros, uso diverso do declarado</w:t>
            </w:r>
          </w:p>
        </w:tc>
        <w:tc>
          <w:tcPr>
            <w:tcW w:w="2700" w:type="dxa"/>
            <w:shd w:val="clear" w:color="auto" w:fill="FFFFFF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Suspensão de 90 a 180 dias + ressarcimento</w:t>
            </w:r>
          </w:p>
        </w:tc>
      </w:tr>
      <w:tr>
        <w:tc>
          <w:tcPr>
            <w:tcW w:w="1500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Gravíssima</w:t>
            </w:r>
          </w:p>
        </w:tc>
        <w:tc>
          <w:tcPr>
            <w:tcW w:w="4304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Atividade ilícita, violência, dano intencional, venda de drogas, discriminação</w:t>
            </w:r>
          </w:p>
        </w:tc>
        <w:tc>
          <w:tcPr>
            <w:tcW w:w="2700" w:type="dxa"/>
            <w:shd w:val="clear" w:color="auto" w:fill="DCE6F7"/>
            <w:vAlign w:val="center"/>
          </w:tcPr>
          <w:p>
            <w:pPr>
              <w:spacing w:before="40" w:after="40"/>
              <w:jc w:val="left"/>
            </w:pPr>
            <w:r>
              <w:rPr>
                <w:rFonts w:ascii="Arial" w:hAnsi="Arial" w:cs="Arial"/>
                <w:sz w:val="20"/>
                <w:szCs w:val="20"/>
              </w:rPr>
              <w:t xml:space="preserve">Impedimento definitivo + comunicação ao Ministério Público</w:t>
            </w:r>
          </w:p>
        </w:tc>
      </w:tr>
    </w:tbl>
    <w:p>
      <w:pPr>
        <w:spacing w:after="140"/>
      </w:pPr>
    </w:p>
    <w:p>
      <w:pPr>
        <w:spacing w:before="0" w:after="200"/>
        <w:rPr>
          <w:rFonts w:ascii="Arial" w:hAnsi="Arial" w:cs="Arial"/>
          <w:i/>
          <w:color w:val="595959"/>
          <w:sz w:val="17"/>
          <w:szCs w:val="17"/>
        </w:rPr>
      </w:pPr>
      <w:r>
        <w:rPr>
          <w:rFonts w:ascii="Arial" w:hAnsi="Arial" w:cs="Arial"/>
          <w:i/>
          <w:color w:val="595959"/>
          <w:sz w:val="17"/>
          <w:szCs w:val="17"/>
        </w:rPr>
        <w:t xml:space="preserve">Fonte: Plano, Seção 10.</w:t>
      </w:r>
    </w:p>
    <w:p>
      <w:pPr>
        <w:keepNext/>
        <w:pBdr>
          <w:bottom w:val="single" w:sz="6" w:space="4" w:color="164194"/>
        </w:pBdr>
        <w:spacing w:before="340" w:after="140"/>
        <w:rPr>
          <w:rFonts w:ascii="Arial" w:hAnsi="Arial" w:cs="Arial"/>
          <w:b/>
          <w:color w:val="164194"/>
          <w:sz w:val="30"/>
          <w:szCs w:val="30"/>
        </w:rPr>
      </w:pPr>
      <w:r>
        <w:rPr>
          <w:rFonts w:ascii="Arial" w:hAnsi="Arial" w:cs="Arial"/>
          <w:b/>
          <w:color w:val="164194"/>
          <w:sz w:val="30"/>
          <w:szCs w:val="30"/>
        </w:rPr>
        <w:t xml:space="preserve">11. Dúvidas e Contato</w:t>
      </w:r>
    </w:p>
    <w:p>
      <w:pPr>
        <w:spacing w:before="0" w:after="14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Em caso de dúvidas sobre este Regulamento ou sobre o processo de solicitação, entre em contato com a Secretaria Municipal de Cultura: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Telefone: (18) 3637-3736</w:t>
      </w:r>
    </w:p>
    <w:p>
      <w:pPr>
        <w:numPr>
          <w:ilvl w:val="0"/>
          <w:numId w:val="1"/>
        </w:numPr>
        <w:spacing w:before="0" w:after="80"/>
        <w:contextualSpacing/>
      </w:pPr>
      <w:r>
        <w:rPr>
          <w:rFonts w:ascii="Arial" w:hAnsi="Arial" w:cs="Arial"/>
          <w:sz w:val="21"/>
          <w:szCs w:val="21"/>
        </w:rPr>
        <w:t xml:space="preserve">Departamento de Cultura — Unidade de Agendamentos e Escalas.</w:t>
      </w:r>
    </w:p>
    <w:sectPr w:rsidR="00237FC6" w:rsidRPr="00DD5B5C" w:rsidSect="00237FC6">
      <w:headerReference w:type="default" r:id="rId6"/>
      <w:pgSz w:w="11906" w:h="16838"/>
      <w:pgMar w:top="249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6356" w:rsidRDefault="00346356" w:rsidP="00237FC6">
      <w:pPr>
        <w:spacing w:after="0" w:line="240" w:lineRule="auto"/>
      </w:pPr>
      <w:r>
        <w:separator/>
      </w:r>
    </w:p>
  </w:endnote>
  <w:endnote w:type="continuationSeparator" w:id="1">
    <w:p w:rsidR="00346356" w:rsidRDefault="00346356" w:rsidP="0023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6356" w:rsidRDefault="00346356" w:rsidP="00237FC6">
      <w:pPr>
        <w:spacing w:after="0" w:line="240" w:lineRule="auto"/>
      </w:pPr>
      <w:r>
        <w:separator/>
      </w:r>
    </w:p>
  </w:footnote>
  <w:footnote w:type="continuationSeparator" w:id="1">
    <w:p w:rsidR="00346356" w:rsidRDefault="00346356" w:rsidP="00237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FC6" w:rsidRDefault="00C26CE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47671" cy="10680700"/>
          <wp:effectExtent l="0" t="0" r="0" b="0"/>
          <wp:wrapNone/>
          <wp:docPr id="411676944" name="Gráfico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1676944" name="Gráfico 41167694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974" cy="106882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454" w:hanging="284"/>
      </w:pPr>
      <w:rPr>
        <w:rFonts w:ascii="Arial" w:hAnsi="Arial" w:cs="Arial" w:hint="default"/>
        <w:color w:val="164194"/>
        <w:b/>
      </w:rPr>
    </w:lvl>
    <w:lvl w:ilvl="1">
      <w:start w:val="1"/>
      <w:numFmt w:val="bullet"/>
      <w:lvlText w:val="o"/>
      <w:lvlJc w:val="left"/>
      <w:pPr>
        <w:ind w:left="1174" w:hanging="284"/>
      </w:pPr>
      <w:rPr>
        <w:rFonts w:ascii="Courier New" w:hAnsi="Courier New" w:cs="Courier New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237FC6"/>
    <w:rsid w:val="00107F9A"/>
    <w:rsid w:val="001720AC"/>
    <w:rsid w:val="00177FB7"/>
    <w:rsid w:val="001C273B"/>
    <w:rsid w:val="00217ED9"/>
    <w:rsid w:val="00237FC6"/>
    <w:rsid w:val="00260EE8"/>
    <w:rsid w:val="0026556B"/>
    <w:rsid w:val="00346356"/>
    <w:rsid w:val="003B697E"/>
    <w:rsid w:val="00415351"/>
    <w:rsid w:val="004767CC"/>
    <w:rsid w:val="004E0CE8"/>
    <w:rsid w:val="006E0867"/>
    <w:rsid w:val="00793608"/>
    <w:rsid w:val="00967DD0"/>
    <w:rsid w:val="009C508A"/>
    <w:rsid w:val="00C13E73"/>
    <w:rsid w:val="00C26CE4"/>
    <w:rsid w:val="00D55F40"/>
    <w:rsid w:val="00DA6FC0"/>
    <w:rsid w:val="00DB20E2"/>
    <w:rsid w:val="00DD5B5C"/>
    <w:rsid w:val="00F63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CE8"/>
  </w:style>
  <w:style w:type="paragraph" w:styleId="Ttulo1">
    <w:name w:val="heading 1"/>
    <w:basedOn w:val="Normal"/>
    <w:next w:val="Normal"/>
    <w:link w:val="Ttulo1Char"/>
    <w:uiPriority w:val="9"/>
    <w:qFormat/>
    <w:rsid w:val="00237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37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37F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37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37F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37F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37F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37F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37F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37F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37F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37F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37FC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37FC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37F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37FC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37F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37F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37F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37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37F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37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37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37FC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37FC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37FC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37F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37FC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37FC6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37F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7FC6"/>
  </w:style>
  <w:style w:type="paragraph" w:styleId="Rodap">
    <w:name w:val="footer"/>
    <w:basedOn w:val="Normal"/>
    <w:link w:val="RodapChar"/>
    <w:uiPriority w:val="99"/>
    <w:unhideWhenUsed/>
    <w:rsid w:val="00237F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7F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9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Guizelini</dc:creator>
  <cp:keywords/>
  <dc:description/>
  <cp:lastModifiedBy>Elizabeth.grande</cp:lastModifiedBy>
  <cp:revision>4</cp:revision>
  <dcterms:created xsi:type="dcterms:W3CDTF">2025-02-04T20:22:00Z</dcterms:created>
  <dcterms:modified xsi:type="dcterms:W3CDTF">2026-07-17T20:06:00Z</dcterms:modified>
</cp:coreProperties>
</file>